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311ED22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F85E3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43031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6FE14B5D" w:rsidR="00292799" w:rsidRDefault="00292799" w:rsidP="0094181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69275149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0520BFA7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4E81C957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354C84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l’accord-cadre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5E3F830" w14:textId="77777777" w:rsidR="00356EEC" w:rsidRPr="00356EEC" w:rsidRDefault="00356EEC" w:rsidP="00356EEC">
      <w:pPr>
        <w:keepNext/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4F81BD" w:themeColor="accent1"/>
          <w:sz w:val="24"/>
        </w:rPr>
      </w:pPr>
      <w:r w:rsidRPr="00356EEC">
        <w:rPr>
          <w:rFonts w:ascii="Arial" w:eastAsia="Times New Roman" w:hAnsi="Arial" w:cs="Arial"/>
          <w:b/>
          <w:bCs/>
          <w:smallCaps/>
          <w:color w:val="4F81BD" w:themeColor="accent1"/>
          <w:sz w:val="24"/>
        </w:rPr>
        <w:t xml:space="preserve">Prestations de déménagements de meubles et équipements de bureau </w:t>
      </w:r>
    </w:p>
    <w:p w14:paraId="75B53961" w14:textId="77777777" w:rsidR="00356EEC" w:rsidRPr="00356EEC" w:rsidRDefault="00356EEC" w:rsidP="00356EEC">
      <w:pPr>
        <w:keepNext/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4F81BD" w:themeColor="accent1"/>
          <w:sz w:val="24"/>
        </w:rPr>
      </w:pPr>
      <w:r w:rsidRPr="00356EEC">
        <w:rPr>
          <w:rFonts w:ascii="Arial" w:eastAsia="Times New Roman" w:hAnsi="Arial" w:cs="Arial"/>
          <w:b/>
          <w:bCs/>
          <w:smallCaps/>
          <w:color w:val="4F81BD" w:themeColor="accent1"/>
          <w:sz w:val="24"/>
        </w:rPr>
        <w:t>de la CPAM de Paris</w:t>
      </w:r>
    </w:p>
    <w:p w14:paraId="06A5D238" w14:textId="227E6FD5" w:rsidR="00E926D8" w:rsidRPr="00C822AF" w:rsidRDefault="00E926D8" w:rsidP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color w:val="000000"/>
          <w:sz w:val="20"/>
          <w:szCs w:val="20"/>
        </w:rPr>
      </w:pPr>
    </w:p>
    <w:p w14:paraId="67950EC6" w14:textId="41D4EA41" w:rsidR="00E926D8" w:rsidRDefault="009234E1" w:rsidP="00E926D8">
      <w:pPr>
        <w:pStyle w:val="RedTitre1"/>
        <w:keepNext/>
        <w:framePr w:hSpace="0" w:wrap="auto" w:vAnchor="margin" w:xAlign="left" w:yAlign="inline"/>
        <w:widowControl/>
        <w:rPr>
          <w:b w:val="0"/>
          <w:i/>
          <w:sz w:val="20"/>
        </w:rPr>
      </w:pPr>
      <w:r>
        <w:rPr>
          <w:b w:val="0"/>
          <w:i/>
          <w:sz w:val="20"/>
        </w:rPr>
        <w:t>Accord cadre</w:t>
      </w:r>
      <w:r w:rsidR="00E926D8" w:rsidRPr="00C822AF">
        <w:rPr>
          <w:b w:val="0"/>
          <w:i/>
          <w:sz w:val="20"/>
        </w:rPr>
        <w:t xml:space="preserve"> passé en application de l’article R212</w:t>
      </w:r>
      <w:r w:rsidR="00DE2C55" w:rsidRPr="00C822AF">
        <w:rPr>
          <w:b w:val="0"/>
          <w:i/>
          <w:sz w:val="20"/>
        </w:rPr>
        <w:t>4</w:t>
      </w:r>
      <w:r w:rsidR="00E926D8" w:rsidRPr="00C822AF">
        <w:rPr>
          <w:b w:val="0"/>
          <w:i/>
          <w:sz w:val="20"/>
        </w:rPr>
        <w:t>-</w:t>
      </w:r>
      <w:r w:rsidR="00DE2C55" w:rsidRPr="00C822AF">
        <w:rPr>
          <w:b w:val="0"/>
          <w:i/>
          <w:sz w:val="20"/>
        </w:rPr>
        <w:t>2</w:t>
      </w:r>
      <w:r w:rsidR="00E926D8" w:rsidRPr="00C822AF">
        <w:rPr>
          <w:b w:val="0"/>
          <w:i/>
          <w:sz w:val="20"/>
        </w:rPr>
        <w:t xml:space="preserve"> </w:t>
      </w:r>
      <w:r w:rsidR="00DE2C55" w:rsidRPr="00C822AF">
        <w:rPr>
          <w:b w:val="0"/>
          <w:i/>
          <w:sz w:val="20"/>
        </w:rPr>
        <w:t>1</w:t>
      </w:r>
      <w:r w:rsidR="00E926D8" w:rsidRPr="00C822AF">
        <w:rPr>
          <w:b w:val="0"/>
          <w:i/>
          <w:sz w:val="20"/>
        </w:rPr>
        <w:t>° du Code de la commande publique</w:t>
      </w:r>
    </w:p>
    <w:p w14:paraId="64D47884" w14:textId="77777777" w:rsidR="008F7993" w:rsidRPr="003E5BE9" w:rsidRDefault="008F7993" w:rsidP="008F7993">
      <w:pPr>
        <w:pStyle w:val="RedTitre1"/>
        <w:keepNext/>
        <w:framePr w:hSpace="0" w:wrap="auto" w:vAnchor="margin" w:xAlign="left" w:yAlign="inline"/>
        <w:widowControl/>
        <w:jc w:val="left"/>
        <w:rPr>
          <w:b w:val="0"/>
          <w:i/>
          <w:sz w:val="20"/>
        </w:rPr>
      </w:pPr>
    </w:p>
    <w:p w14:paraId="2C8292BA" w14:textId="77777777" w:rsidR="008F7993" w:rsidRDefault="008F7993" w:rsidP="008F799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136DB9D2" w:rsidR="00176188" w:rsidRPr="009A440D" w:rsidRDefault="00C57DB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356EEC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56C280F" w14:textId="34E3E9C2" w:rsid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8B7A7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C57DB4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C57DB4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655AB272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CDFCDEE" w14:textId="5BBA7ACA" w:rsidR="00D1049B" w:rsidRPr="00F32B40" w:rsidRDefault="00292799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56FC2DBC" w14:textId="77777777" w:rsidR="00144FF8" w:rsidRDefault="00144FF8" w:rsidP="00A4328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1E2044CD" w:rsidR="00292799" w:rsidRPr="003E5BE9" w:rsidRDefault="00292799" w:rsidP="00A43282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lastRenderedPageBreak/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2ECA6653" w14:textId="30EC1C79" w:rsidR="00354C84" w:rsidRDefault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478FFE1E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</w:t>
      </w:r>
      <w:r w:rsidR="0094181F">
        <w:rPr>
          <w:rFonts w:ascii="Arial" w:hAnsi="Arial" w:cs="Arial"/>
          <w:color w:val="000000"/>
          <w:sz w:val="20"/>
          <w:szCs w:val="18"/>
        </w:rPr>
        <w:t>correspondant au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6CC7940A" w14:textId="3890B366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de </w:t>
      </w:r>
      <w:r w:rsidR="00144FF8">
        <w:rPr>
          <w:rFonts w:ascii="Arial" w:hAnsi="Arial" w:cs="Arial"/>
          <w:b/>
          <w:bCs/>
          <w:color w:val="000000"/>
          <w:sz w:val="20"/>
          <w:szCs w:val="18"/>
        </w:rPr>
        <w:t>6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</w:t>
      </w:r>
      <w:r w:rsidR="0094181F" w:rsidRPr="00477B53">
        <w:rPr>
          <w:rFonts w:ascii="Arial" w:hAnsi="Arial" w:cs="Arial"/>
          <w:b/>
          <w:bCs/>
          <w:color w:val="000000"/>
          <w:sz w:val="20"/>
          <w:szCs w:val="18"/>
        </w:rPr>
        <w:t>mois</w:t>
      </w:r>
      <w:r w:rsidRPr="00477B53">
        <w:rPr>
          <w:rFonts w:ascii="Arial" w:hAnsi="Arial" w:cs="Arial"/>
          <w:color w:val="000000"/>
          <w:sz w:val="20"/>
          <w:szCs w:val="18"/>
        </w:rPr>
        <w:t xml:space="preserve"> à compter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de la date limite de remise des offres.</w:t>
      </w:r>
    </w:p>
    <w:p w14:paraId="3F8728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1D09508B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Prix</w:t>
            </w:r>
          </w:p>
        </w:tc>
      </w:tr>
    </w:tbl>
    <w:p w14:paraId="0DB693F0" w14:textId="77777777" w:rsidR="00F1468C" w:rsidRDefault="00F1468C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010AB41C" w14:textId="39C2060A" w:rsidR="0094181F" w:rsidRPr="00144FF8" w:rsidRDefault="0094181F" w:rsidP="00356E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44FF8">
        <w:rPr>
          <w:rFonts w:ascii="Arial" w:hAnsi="Arial" w:cs="Arial"/>
          <w:bCs/>
          <w:color w:val="000000"/>
          <w:sz w:val="20"/>
          <w:szCs w:val="20"/>
        </w:rPr>
        <w:t xml:space="preserve">Le candidat devra compléter </w:t>
      </w:r>
      <w:r w:rsidRPr="00144FF8">
        <w:rPr>
          <w:rFonts w:ascii="Arial" w:hAnsi="Arial" w:cs="Arial"/>
          <w:b/>
          <w:bCs/>
          <w:color w:val="000000"/>
          <w:sz w:val="20"/>
          <w:szCs w:val="20"/>
        </w:rPr>
        <w:t>le cadre de réponse financière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 xml:space="preserve"> (annexe</w:t>
      </w:r>
      <w:r w:rsidR="009234E1" w:rsidRPr="00144F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>1</w:t>
      </w:r>
      <w:r w:rsidR="00C822AF" w:rsidRPr="00144F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>l’acte d’engagement).</w:t>
      </w:r>
    </w:p>
    <w:p w14:paraId="3ECEC966" w14:textId="3AA256D3" w:rsidR="0094181F" w:rsidRDefault="0094181F" w:rsidP="00356E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44FF8">
        <w:rPr>
          <w:rFonts w:ascii="Arial" w:hAnsi="Arial" w:cs="Arial"/>
          <w:bCs/>
          <w:color w:val="000000"/>
          <w:sz w:val="20"/>
          <w:szCs w:val="20"/>
        </w:rPr>
        <w:t>Ainsi, les prestations seront réglées sur la base des prix unitaires</w:t>
      </w:r>
      <w:r w:rsidR="00356EEC" w:rsidRPr="00144FF8">
        <w:rPr>
          <w:rFonts w:ascii="Arial" w:hAnsi="Arial" w:cs="Arial"/>
          <w:bCs/>
          <w:color w:val="000000"/>
          <w:sz w:val="20"/>
          <w:szCs w:val="20"/>
        </w:rPr>
        <w:t xml:space="preserve"> et forfaitaires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 xml:space="preserve"> nets hors taxes figurant sur le</w:t>
      </w:r>
      <w:r w:rsidR="00C822AF" w:rsidRPr="00144FF8">
        <w:rPr>
          <w:rFonts w:ascii="Arial" w:hAnsi="Arial" w:cs="Arial"/>
          <w:bCs/>
          <w:color w:val="000000"/>
          <w:sz w:val="20"/>
          <w:szCs w:val="20"/>
        </w:rPr>
        <w:t>s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 xml:space="preserve"> Bordereau</w:t>
      </w:r>
      <w:r w:rsidR="00C822AF" w:rsidRPr="00144FF8">
        <w:rPr>
          <w:rFonts w:ascii="Arial" w:hAnsi="Arial" w:cs="Arial"/>
          <w:bCs/>
          <w:color w:val="000000"/>
          <w:sz w:val="20"/>
          <w:szCs w:val="20"/>
        </w:rPr>
        <w:t>x</w:t>
      </w:r>
      <w:r w:rsidRPr="00144FF8">
        <w:rPr>
          <w:rFonts w:ascii="Arial" w:hAnsi="Arial" w:cs="Arial"/>
          <w:bCs/>
          <w:color w:val="000000"/>
          <w:sz w:val="20"/>
          <w:szCs w:val="20"/>
        </w:rPr>
        <w:t xml:space="preserve"> des Prix Unitaires (BPU).</w:t>
      </w:r>
    </w:p>
    <w:p w14:paraId="64C9A00A" w14:textId="77777777" w:rsidR="009234E1" w:rsidRDefault="009234E1" w:rsidP="00356E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FF78B5B" w14:textId="7DCE0CAF" w:rsidR="0094181F" w:rsidRDefault="0094181F" w:rsidP="00356EE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4181F">
        <w:rPr>
          <w:rFonts w:ascii="Arial" w:hAnsi="Arial" w:cs="Arial"/>
          <w:bCs/>
          <w:color w:val="000000"/>
          <w:sz w:val="20"/>
          <w:szCs w:val="20"/>
        </w:rPr>
        <w:t>Les modalités de fixation des prix et de variation des prix sont fixées à l'a</w:t>
      </w:r>
      <w:r w:rsidR="00C822AF">
        <w:rPr>
          <w:rFonts w:ascii="Arial" w:hAnsi="Arial" w:cs="Arial"/>
          <w:bCs/>
          <w:color w:val="000000"/>
          <w:sz w:val="20"/>
          <w:szCs w:val="20"/>
        </w:rPr>
        <w:t xml:space="preserve">rticle 2 du Cahier des Clauses </w:t>
      </w:r>
      <w:r w:rsidRPr="0094181F">
        <w:rPr>
          <w:rFonts w:ascii="Arial" w:hAnsi="Arial" w:cs="Arial"/>
          <w:bCs/>
          <w:color w:val="000000"/>
          <w:sz w:val="20"/>
          <w:szCs w:val="20"/>
        </w:rPr>
        <w:t>Administratives Particulières.</w:t>
      </w:r>
    </w:p>
    <w:p w14:paraId="600CA39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4D154B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53B52EB" w14:textId="200D3808" w:rsidR="00356EEC" w:rsidRDefault="00356EEC" w:rsidP="00356EEC">
      <w:pPr>
        <w:spacing w:after="0" w:line="240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144FF8">
        <w:rPr>
          <w:rFonts w:ascii="Arial" w:hAnsi="Arial" w:cs="Arial"/>
          <w:color w:val="000000"/>
          <w:sz w:val="20"/>
          <w:szCs w:val="20"/>
        </w:rPr>
        <w:t>Le marché est conclu pour une durée initiale de 12 (douze) mois. Le démarrage des prestations est prévu pour le 9 juin 2026 où à la date qui sera mentionnée sur le courrier de notification si postérieure au 9 juin.</w:t>
      </w:r>
    </w:p>
    <w:p w14:paraId="362B5B75" w14:textId="77777777" w:rsidR="00356EEC" w:rsidRPr="00356EEC" w:rsidRDefault="00356EEC" w:rsidP="00356EEC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EA76C83" w14:textId="7779038B" w:rsidR="00893BA7" w:rsidRPr="00356EEC" w:rsidRDefault="00893BA7" w:rsidP="00893BA7">
      <w:pPr>
        <w:pStyle w:val="RedTxt"/>
        <w:ind w:left="117"/>
        <w:jc w:val="both"/>
        <w:rPr>
          <w:color w:val="000000"/>
          <w:sz w:val="20"/>
          <w:szCs w:val="20"/>
        </w:rPr>
      </w:pPr>
      <w:r w:rsidRPr="00356EEC">
        <w:rPr>
          <w:color w:val="000000"/>
          <w:sz w:val="20"/>
          <w:szCs w:val="20"/>
        </w:rPr>
        <w:lastRenderedPageBreak/>
        <w:t>Le marché est r</w:t>
      </w:r>
      <w:r w:rsidR="00931288" w:rsidRPr="00356EEC">
        <w:rPr>
          <w:color w:val="000000"/>
          <w:sz w:val="20"/>
          <w:szCs w:val="20"/>
        </w:rPr>
        <w:t xml:space="preserve">econductible de manière tacite </w:t>
      </w:r>
      <w:r w:rsidR="00F44214" w:rsidRPr="00356EEC">
        <w:rPr>
          <w:color w:val="000000"/>
          <w:sz w:val="20"/>
          <w:szCs w:val="20"/>
        </w:rPr>
        <w:t>3</w:t>
      </w:r>
      <w:r w:rsidR="00DE2C55" w:rsidRPr="00356EEC">
        <w:rPr>
          <w:color w:val="000000"/>
          <w:sz w:val="20"/>
          <w:szCs w:val="20"/>
        </w:rPr>
        <w:t xml:space="preserve"> (trois)</w:t>
      </w:r>
      <w:r w:rsidRPr="00356EEC">
        <w:rPr>
          <w:color w:val="000000"/>
          <w:sz w:val="20"/>
          <w:szCs w:val="20"/>
        </w:rPr>
        <w:t xml:space="preserve"> fois, pour une période de 1</w:t>
      </w:r>
      <w:r w:rsidR="00DE2C55" w:rsidRPr="00356EEC">
        <w:rPr>
          <w:color w:val="000000"/>
          <w:sz w:val="20"/>
          <w:szCs w:val="20"/>
        </w:rPr>
        <w:t xml:space="preserve"> (un)</w:t>
      </w:r>
      <w:r w:rsidRPr="00356EEC">
        <w:rPr>
          <w:color w:val="000000"/>
          <w:sz w:val="20"/>
          <w:szCs w:val="20"/>
        </w:rPr>
        <w:t xml:space="preserve"> </w:t>
      </w:r>
      <w:r w:rsidR="00780AB7" w:rsidRPr="00356EEC">
        <w:rPr>
          <w:color w:val="000000"/>
          <w:sz w:val="20"/>
          <w:szCs w:val="20"/>
        </w:rPr>
        <w:t xml:space="preserve">an, soit une durée maximale de </w:t>
      </w:r>
      <w:r w:rsidR="00F44214" w:rsidRPr="00356EEC">
        <w:rPr>
          <w:color w:val="000000"/>
          <w:sz w:val="20"/>
          <w:szCs w:val="20"/>
        </w:rPr>
        <w:t>4</w:t>
      </w:r>
      <w:r w:rsidR="00DE2C55" w:rsidRPr="00356EEC">
        <w:rPr>
          <w:color w:val="000000"/>
          <w:sz w:val="20"/>
          <w:szCs w:val="20"/>
        </w:rPr>
        <w:t xml:space="preserve"> (quatre)</w:t>
      </w:r>
      <w:r w:rsidRPr="00356EEC">
        <w:rPr>
          <w:color w:val="000000"/>
          <w:sz w:val="20"/>
          <w:szCs w:val="20"/>
        </w:rPr>
        <w:t xml:space="preserve"> ans.</w:t>
      </w:r>
    </w:p>
    <w:p w14:paraId="07FAC332" w14:textId="77777777" w:rsidR="00893BA7" w:rsidRPr="00356EEC" w:rsidRDefault="00893BA7" w:rsidP="00893BA7">
      <w:pPr>
        <w:pStyle w:val="RedTxt"/>
        <w:ind w:left="117"/>
        <w:jc w:val="both"/>
        <w:rPr>
          <w:color w:val="000000"/>
          <w:sz w:val="20"/>
          <w:szCs w:val="20"/>
        </w:rPr>
      </w:pPr>
    </w:p>
    <w:p w14:paraId="7A30CDF1" w14:textId="7D718EEE" w:rsidR="00532018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Le titulaire du marché ne peut pas refuser la reconduction selon les dispositions </w:t>
      </w:r>
      <w:r w:rsidR="00F81E91">
        <w:rPr>
          <w:rFonts w:ascii="Arial" w:hAnsi="Arial" w:cs="Arial"/>
          <w:color w:val="000000"/>
          <w:sz w:val="20"/>
          <w:szCs w:val="20"/>
        </w:rPr>
        <w:t xml:space="preserve">de l'article </w:t>
      </w:r>
      <w:r w:rsidR="00F81E91" w:rsidRPr="00F81E91">
        <w:rPr>
          <w:rFonts w:ascii="Arial" w:hAnsi="Arial" w:cs="Arial"/>
          <w:color w:val="000000"/>
          <w:sz w:val="20"/>
          <w:szCs w:val="20"/>
        </w:rPr>
        <w:t>R2112-4 alinéa 2 du Code de la commande publique.</w:t>
      </w:r>
    </w:p>
    <w:p w14:paraId="6A36B204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4F582024" w14:textId="77777777" w:rsidR="0094181F" w:rsidRP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68D2EEEB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F1468C">
        <w:rPr>
          <w:rFonts w:ascii="Arial" w:hAnsi="Arial" w:cs="Arial"/>
          <w:color w:val="000000"/>
          <w:sz w:val="20"/>
          <w:szCs w:val="20"/>
        </w:rPr>
        <w:t>2.</w:t>
      </w:r>
      <w:r w:rsidR="00144FF8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7FC1BE2" w14:textId="77777777" w:rsidR="006F22CA" w:rsidRPr="00225B85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Pr="002E2637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0CEBC57C" w14:textId="11A43882" w:rsidR="00E926D8" w:rsidRDefault="00E926D8" w:rsidP="00C57DB4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Times New Roman" w:hAnsi="Times New Roman"/>
          <w:color w:val="000000"/>
          <w:sz w:val="20"/>
          <w:szCs w:val="20"/>
        </w:rPr>
      </w:pPr>
    </w:p>
    <w:p w14:paraId="01EBDB33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94181F" w14:paraId="5A1B9FBE" w14:textId="77777777" w:rsidTr="00552EB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3421B3C" w14:textId="77777777" w:rsidR="0094181F" w:rsidRDefault="0094181F" w:rsidP="00552EB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8852AB7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jc w:val="center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94181F" w:rsidRPr="00C63EDE" w14:paraId="3109E9BF" w14:textId="77777777" w:rsidTr="0094181F">
        <w:trPr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CFD5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07D0DC80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7BDD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BD4D" w14:textId="77777777" w:rsidR="0094181F" w:rsidRPr="002B2D60" w:rsidRDefault="0094181F" w:rsidP="00552EB7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94181F" w:rsidRPr="00C63EDE" w14:paraId="6DF3882E" w14:textId="77777777" w:rsidTr="0094181F">
        <w:trPr>
          <w:trHeight w:val="1493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F5CC4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AE026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1F1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C63EDE" w14:paraId="66A0996B" w14:textId="77777777" w:rsidTr="0094181F">
        <w:trPr>
          <w:trHeight w:val="1556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97093E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D0BCC2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0CCE0" w14:textId="77777777" w:rsidR="0094181F" w:rsidRPr="00C63EDE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94181F" w:rsidRPr="002B2D60" w14:paraId="2ADD2921" w14:textId="77777777" w:rsidTr="0094181F">
        <w:trPr>
          <w:trHeight w:val="155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B7F8F2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A2523A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556A56" w14:textId="77777777" w:rsidR="0094181F" w:rsidRPr="002B2D60" w:rsidRDefault="0094181F" w:rsidP="0094181F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B5C8820" w14:textId="77777777" w:rsidR="0094181F" w:rsidRPr="002B2D60" w:rsidRDefault="0094181F" w:rsidP="0094181F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77C45178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E43FE90" w14:textId="77777777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189B713" w14:textId="381C787D" w:rsidR="0094181F" w:rsidRDefault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37472B01" w14:textId="404985CD" w:rsidR="009234E1" w:rsidRDefault="009234E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F9EEB67" w14:textId="64189F5A" w:rsidR="009234E1" w:rsidRDefault="009234E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1FA62E84" w14:textId="45534A3B" w:rsidR="00C57DB4" w:rsidRDefault="00C57DB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7538FD4" w14:textId="4BC17C0D" w:rsidR="00C57DB4" w:rsidRDefault="00C57DB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58C0D5DD" w14:textId="77777777" w:rsidR="00C57DB4" w:rsidRDefault="00C57DB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  <w:bookmarkStart w:id="13" w:name="_GoBack"/>
      <w:bookmarkEnd w:id="13"/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4522435" w:rsidR="00292799" w:rsidRDefault="00941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C57DB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69252A5E" w14:textId="495A74ED" w:rsidR="0094181F" w:rsidRDefault="00C57DB4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C57DB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301FF02A" w14:textId="77777777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44D3C25" w14:textId="77777777" w:rsidR="0094181F" w:rsidRPr="00697347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32093CD2" w14:textId="77777777" w:rsidR="0094181F" w:rsidRDefault="0094181F" w:rsidP="0094181F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76F14EA" w14:textId="77777777" w:rsidR="0094181F" w:rsidRDefault="00C57DB4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6B821991" w14:textId="77777777" w:rsidR="0094181F" w:rsidRDefault="00C57DB4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181F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94181F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68CA3353" w14:textId="77777777" w:rsidR="0094181F" w:rsidRDefault="0094181F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1F6002C1" w14:textId="41566427" w:rsidR="0094181F" w:rsidRDefault="00292799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6FE6EA2E" w14:textId="77777777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6E5A3F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D410975" w14:textId="77777777" w:rsidR="00477B53" w:rsidRDefault="00477B53" w:rsidP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B86FF94" w14:textId="77777777" w:rsidR="00477B53" w:rsidRPr="00925EF5" w:rsidRDefault="00477B53" w:rsidP="00477B53">
      <w:pPr>
        <w:pStyle w:val="Paragraphedeliste"/>
        <w:keepLines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6507AFE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2F4E4CC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7FA4DD0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1887E707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30B6AF71" w14:textId="77777777" w:rsidR="00477B53" w:rsidRPr="00925EF5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5314AEE9" w14:textId="0D78EC5A" w:rsidR="00477B53" w:rsidRPr="00477B53" w:rsidRDefault="00477B53" w:rsidP="00477B5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5529C40" w14:textId="77777777" w:rsidR="00477B53" w:rsidRDefault="00477B53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08B2D4A2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4676938D" w:rsidR="00292799" w:rsidRDefault="00477B53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5A7A869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23600E9" w14:textId="0DD0D464" w:rsidR="0094181F" w:rsidRDefault="0094181F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consiste en l’envoi 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 ou en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</w:t>
      </w:r>
      <w:r>
        <w:rPr>
          <w:rFonts w:ascii="Arial" w:hAnsi="Arial" w:cs="Arial"/>
          <w:color w:val="000000"/>
          <w:sz w:val="20"/>
          <w:szCs w:val="20"/>
        </w:rPr>
        <w:t>permettant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de désigner l’expéditeur, de garantir l’identité du destinataire et d’établir que le document lui a été remis </w:t>
      </w:r>
      <w:r w:rsidRPr="0094181F">
        <w:rPr>
          <w:rFonts w:ascii="Arial" w:hAnsi="Arial" w:cs="Arial"/>
          <w:color w:val="000000"/>
          <w:sz w:val="20"/>
          <w:szCs w:val="20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8D00B42" w14:textId="44A5955E" w:rsidR="00292799" w:rsidRDefault="006F22CA" w:rsidP="0094181F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sz w:val="24"/>
          <w:szCs w:val="24"/>
        </w:rPr>
      </w:pPr>
      <w:bookmarkStart w:id="14" w:name="page_total_master0"/>
      <w:bookmarkStart w:id="15" w:name="page_total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8"/>
      <w:footerReference w:type="default" r:id="rId9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C856" w14:textId="77777777" w:rsidR="005639C7" w:rsidRDefault="005639C7">
      <w:pPr>
        <w:spacing w:after="0" w:line="240" w:lineRule="auto"/>
      </w:pPr>
      <w:r>
        <w:separator/>
      </w:r>
    </w:p>
  </w:endnote>
  <w:endnote w:type="continuationSeparator" w:id="0">
    <w:p w14:paraId="2D59E44F" w14:textId="77777777" w:rsidR="005639C7" w:rsidRDefault="00563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8AB1" w14:textId="67BF7C9D" w:rsidR="00980BF1" w:rsidRDefault="009234E1" w:rsidP="00980BF1">
    <w:pPr>
      <w:pStyle w:val="En-tte"/>
      <w:ind w:right="1275"/>
      <w:jc w:val="right"/>
    </w:pPr>
    <w:r>
      <w:rPr>
        <w:noProof/>
        <w:color w:val="212121"/>
      </w:rPr>
      <w:drawing>
        <wp:anchor distT="0" distB="0" distL="114300" distR="114300" simplePos="0" relativeHeight="251658240" behindDoc="0" locked="0" layoutInCell="1" allowOverlap="1" wp14:anchorId="1B9F02BC" wp14:editId="7C5ECEBB">
          <wp:simplePos x="0" y="0"/>
          <wp:positionH relativeFrom="column">
            <wp:posOffset>-306070</wp:posOffset>
          </wp:positionH>
          <wp:positionV relativeFrom="paragraph">
            <wp:posOffset>49530</wp:posOffset>
          </wp:positionV>
          <wp:extent cx="1257300" cy="405130"/>
          <wp:effectExtent l="0" t="0" r="0" b="0"/>
          <wp:wrapNone/>
          <wp:docPr id="4" name="Image 4" descr="cid:image006.png@01D6F493.77B85F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 descr="cid:image006.png@01D6F493.77B85F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B0F279" w14:textId="25E328DC" w:rsidR="00980BF1" w:rsidRDefault="00980BF1" w:rsidP="00980BF1"/>
  <w:p w14:paraId="10596462" w14:textId="43572D8E" w:rsidR="00980BF1" w:rsidRDefault="00980BF1" w:rsidP="00980BF1">
    <w:pPr>
      <w:spacing w:after="0" w:line="240" w:lineRule="auto"/>
      <w:ind w:left="-425" w:right="-425" w:firstLine="425"/>
      <w:rPr>
        <w:rFonts w:ascii="Calibri" w:hAnsi="Calibri" w:cs="Tahoma"/>
        <w:sz w:val="18"/>
      </w:rPr>
    </w:pPr>
    <w:r w:rsidRPr="00144FF8">
      <w:rPr>
        <w:rFonts w:ascii="Calibri" w:hAnsi="Calibri" w:cs="Tahoma"/>
        <w:sz w:val="18"/>
      </w:rPr>
      <w:t xml:space="preserve">AE – Numéro de consultation : </w:t>
    </w:r>
    <w:r>
      <w:rPr>
        <w:rFonts w:ascii="Calibri" w:hAnsi="Calibri" w:cs="Tahoma"/>
        <w:sz w:val="18"/>
      </w:rPr>
      <w:t>26-C-001</w:t>
    </w:r>
  </w:p>
  <w:p w14:paraId="0466F6C3" w14:textId="41EF4896" w:rsidR="00292799" w:rsidRDefault="00980BF1" w:rsidP="00980BF1">
    <w:pPr>
      <w:spacing w:after="0" w:line="240" w:lineRule="auto"/>
      <w:ind w:left="-425" w:right="-425" w:firstLine="425"/>
      <w:rPr>
        <w:rFonts w:ascii="Arial" w:hAnsi="Arial" w:cs="Arial"/>
        <w:sz w:val="24"/>
        <w:szCs w:val="24"/>
      </w:rPr>
    </w:pPr>
    <w:r w:rsidRPr="00711F49">
      <w:rPr>
        <w:rFonts w:ascii="Calibri" w:hAnsi="Calibri" w:cs="Tahoma"/>
        <w:sz w:val="18"/>
      </w:rPr>
      <w:t>Prestation de déménagement</w:t>
    </w:r>
    <w:r>
      <w:rPr>
        <w:rFonts w:ascii="Calibri" w:hAnsi="Calibri" w:cs="Tahoma"/>
        <w:sz w:val="18"/>
      </w:rPr>
      <w:t>s</w:t>
    </w:r>
    <w:r w:rsidRPr="00711F49">
      <w:rPr>
        <w:rFonts w:ascii="Calibri" w:hAnsi="Calibri" w:cs="Tahoma"/>
        <w:sz w:val="18"/>
      </w:rPr>
      <w:t xml:space="preserve"> de meubles et d’équipements de bureau</w:t>
    </w:r>
    <w:r>
      <w:rPr>
        <w:rFonts w:ascii="Calibri" w:hAnsi="Calibri" w:cs="Tahoma"/>
        <w:sz w:val="18"/>
      </w:rPr>
      <w:tab/>
    </w:r>
    <w:r w:rsidR="00292799"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 w:rsidR="00292799">
      <w:rPr>
        <w:rFonts w:ascii="Arial" w:hAnsi="Arial" w:cs="Arial"/>
        <w:color w:val="000000"/>
        <w:sz w:val="24"/>
        <w:szCs w:val="24"/>
      </w:rPr>
      <w:tab/>
    </w:r>
    <w:r w:rsidR="00292799">
      <w:rPr>
        <w:rFonts w:ascii="Arial" w:hAnsi="Arial" w:cs="Arial"/>
        <w:color w:val="000000"/>
        <w:sz w:val="16"/>
        <w:szCs w:val="16"/>
      </w:rPr>
      <w:t xml:space="preserve">Page </w:t>
    </w:r>
    <w:r w:rsidR="00292799">
      <w:rPr>
        <w:rFonts w:ascii="Arial" w:hAnsi="Arial" w:cs="Arial"/>
        <w:color w:val="000000"/>
        <w:sz w:val="16"/>
        <w:szCs w:val="16"/>
      </w:rPr>
      <w:pgNum/>
    </w:r>
    <w:r w:rsidR="00292799">
      <w:rPr>
        <w:rFonts w:ascii="Arial" w:hAnsi="Arial" w:cs="Arial"/>
        <w:color w:val="000000"/>
        <w:sz w:val="16"/>
        <w:szCs w:val="16"/>
      </w:rPr>
      <w:t xml:space="preserve"> / </w:t>
    </w:r>
    <w:r w:rsidR="00414D23">
      <w:rPr>
        <w:rFonts w:ascii="Arial" w:hAnsi="Arial" w:cs="Arial"/>
        <w:noProof/>
        <w:color w:val="00000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68C74" w14:textId="77777777" w:rsidR="005639C7" w:rsidRDefault="005639C7">
      <w:pPr>
        <w:spacing w:after="0" w:line="240" w:lineRule="auto"/>
      </w:pPr>
      <w:r>
        <w:separator/>
      </w:r>
    </w:p>
  </w:footnote>
  <w:footnote w:type="continuationSeparator" w:id="0">
    <w:p w14:paraId="14EE2310" w14:textId="77777777" w:rsidR="005639C7" w:rsidRDefault="00563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7216" behindDoc="0" locked="0" layoutInCell="1" allowOverlap="1" wp14:anchorId="6600FAB6" wp14:editId="55000223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C43DF7"/>
    <w:multiLevelType w:val="hybridMultilevel"/>
    <w:tmpl w:val="E41811AA"/>
    <w:lvl w:ilvl="0" w:tplc="6A70E9A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6" w15:restartNumberingAfterBreak="0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8" w15:restartNumberingAfterBreak="0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9" w15:restartNumberingAfterBreak="0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42214"/>
    <w:rsid w:val="000734D4"/>
    <w:rsid w:val="00080E57"/>
    <w:rsid w:val="000E646C"/>
    <w:rsid w:val="0010752F"/>
    <w:rsid w:val="00144C66"/>
    <w:rsid w:val="00144FF8"/>
    <w:rsid w:val="00160BEB"/>
    <w:rsid w:val="00176188"/>
    <w:rsid w:val="001D1DA1"/>
    <w:rsid w:val="001F4968"/>
    <w:rsid w:val="0023171F"/>
    <w:rsid w:val="00243379"/>
    <w:rsid w:val="00247FFD"/>
    <w:rsid w:val="002520D8"/>
    <w:rsid w:val="00292799"/>
    <w:rsid w:val="002B38DE"/>
    <w:rsid w:val="00354C84"/>
    <w:rsid w:val="00356EEC"/>
    <w:rsid w:val="003E5BE9"/>
    <w:rsid w:val="004006E1"/>
    <w:rsid w:val="00414D23"/>
    <w:rsid w:val="00477B53"/>
    <w:rsid w:val="00507446"/>
    <w:rsid w:val="00532018"/>
    <w:rsid w:val="00547DAB"/>
    <w:rsid w:val="005639C7"/>
    <w:rsid w:val="00565D8C"/>
    <w:rsid w:val="005825C7"/>
    <w:rsid w:val="005B2DC5"/>
    <w:rsid w:val="0066065B"/>
    <w:rsid w:val="006725A1"/>
    <w:rsid w:val="00676E73"/>
    <w:rsid w:val="006E4E86"/>
    <w:rsid w:val="006F009F"/>
    <w:rsid w:val="006F22CA"/>
    <w:rsid w:val="0072289F"/>
    <w:rsid w:val="00743745"/>
    <w:rsid w:val="00756374"/>
    <w:rsid w:val="00780AB7"/>
    <w:rsid w:val="007C02D1"/>
    <w:rsid w:val="007C5FDD"/>
    <w:rsid w:val="0082516E"/>
    <w:rsid w:val="00881FE7"/>
    <w:rsid w:val="00893BA7"/>
    <w:rsid w:val="008F7993"/>
    <w:rsid w:val="00901733"/>
    <w:rsid w:val="009032FB"/>
    <w:rsid w:val="009234E1"/>
    <w:rsid w:val="00931288"/>
    <w:rsid w:val="0094181F"/>
    <w:rsid w:val="00972CFD"/>
    <w:rsid w:val="00980BF1"/>
    <w:rsid w:val="009A440D"/>
    <w:rsid w:val="009A5011"/>
    <w:rsid w:val="009E0FEE"/>
    <w:rsid w:val="00A43282"/>
    <w:rsid w:val="00A512A2"/>
    <w:rsid w:val="00A6499B"/>
    <w:rsid w:val="00B439C2"/>
    <w:rsid w:val="00B608C6"/>
    <w:rsid w:val="00B60DA3"/>
    <w:rsid w:val="00B80DF7"/>
    <w:rsid w:val="00B96E6C"/>
    <w:rsid w:val="00C57DB4"/>
    <w:rsid w:val="00C822AF"/>
    <w:rsid w:val="00CC0657"/>
    <w:rsid w:val="00CE17E2"/>
    <w:rsid w:val="00D1049B"/>
    <w:rsid w:val="00D53CD4"/>
    <w:rsid w:val="00D70EE6"/>
    <w:rsid w:val="00DE2C55"/>
    <w:rsid w:val="00E54944"/>
    <w:rsid w:val="00E926D8"/>
    <w:rsid w:val="00EC1E6B"/>
    <w:rsid w:val="00EE351A"/>
    <w:rsid w:val="00F036B9"/>
    <w:rsid w:val="00F04166"/>
    <w:rsid w:val="00F1468C"/>
    <w:rsid w:val="00F32B40"/>
    <w:rsid w:val="00F44214"/>
    <w:rsid w:val="00F505FE"/>
    <w:rsid w:val="00F72ACD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D67A07"/>
  <w14:defaultImageDpi w14:val="96"/>
  <w15:docId w15:val="{6C161570-E92F-4298-8F66-63328AF3A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477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6F493.77B85FB0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6C8A2-0B57-4EB7-BF31-D374CB14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817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TOCNY GINA (CPAM PARIS)</cp:lastModifiedBy>
  <cp:revision>18</cp:revision>
  <cp:lastPrinted>2017-08-08T13:04:00Z</cp:lastPrinted>
  <dcterms:created xsi:type="dcterms:W3CDTF">2023-04-28T14:19:00Z</dcterms:created>
  <dcterms:modified xsi:type="dcterms:W3CDTF">2026-02-19T09:54:00Z</dcterms:modified>
</cp:coreProperties>
</file>